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DB" w:rsidRPr="006F22DB" w:rsidRDefault="006F22DB" w:rsidP="006F22DB">
      <w:pPr>
        <w:rPr>
          <w:rFonts w:ascii="Garamond" w:hAnsi="Garamond"/>
          <w:bCs/>
        </w:rPr>
      </w:pPr>
      <w:r w:rsidRPr="006F22DB">
        <w:rPr>
          <w:rFonts w:ascii="Garamond" w:hAnsi="Garamond"/>
          <w:bCs/>
        </w:rPr>
        <w:t>Gentili</w:t>
      </w:r>
    </w:p>
    <w:p w:rsidR="006F22DB" w:rsidRDefault="006F22DB" w:rsidP="006F22DB">
      <w:pPr>
        <w:rPr>
          <w:rFonts w:ascii="Garamond" w:hAnsi="Garamond"/>
          <w:bCs/>
        </w:rPr>
      </w:pPr>
      <w:r w:rsidRPr="006F22DB">
        <w:rPr>
          <w:rFonts w:ascii="Garamond" w:hAnsi="Garamond"/>
          <w:bCs/>
        </w:rPr>
        <w:t xml:space="preserve">Mercoledì si è svolta l’audizione del Prof </w:t>
      </w:r>
      <w:proofErr w:type="spellStart"/>
      <w:r w:rsidRPr="006F22DB">
        <w:rPr>
          <w:rFonts w:ascii="Garamond" w:hAnsi="Garamond"/>
          <w:bCs/>
        </w:rPr>
        <w:t>Cassese</w:t>
      </w:r>
      <w:proofErr w:type="spellEnd"/>
      <w:r w:rsidRPr="006F22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in commissione Affari costituzionale del Senato in relazione alla discussione del DDL AS 615 autonomia differenziata.</w:t>
      </w:r>
    </w:p>
    <w:p w:rsidR="006F22DB" w:rsidRDefault="006F22DB" w:rsidP="006F22DB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Di seguito il link alla audizione e un breve resoconto.</w:t>
      </w:r>
    </w:p>
    <w:p w:rsidR="006F22DB" w:rsidRDefault="006F22DB" w:rsidP="006F22DB">
      <w:pPr>
        <w:rPr>
          <w:rFonts w:ascii="Garamond" w:hAnsi="Garamond"/>
          <w:bCs/>
        </w:rPr>
      </w:pPr>
    </w:p>
    <w:p w:rsidR="006F22DB" w:rsidRPr="006F22DB" w:rsidRDefault="006F22DB" w:rsidP="006F22DB">
      <w:pPr>
        <w:rPr>
          <w:rFonts w:ascii="Garamond" w:hAnsi="Garamond"/>
          <w:bCs/>
        </w:rPr>
      </w:pPr>
    </w:p>
    <w:p w:rsidR="006F22DB" w:rsidRDefault="006F22DB" w:rsidP="00D9104A">
      <w:pPr>
        <w:jc w:val="center"/>
        <w:rPr>
          <w:rFonts w:ascii="Garamond" w:hAnsi="Garamond"/>
          <w:b/>
          <w:bCs/>
        </w:rPr>
      </w:pPr>
    </w:p>
    <w:p w:rsidR="006F22DB" w:rsidRDefault="006F22DB" w:rsidP="00D9104A">
      <w:pPr>
        <w:jc w:val="center"/>
        <w:rPr>
          <w:rFonts w:ascii="Garamond" w:hAnsi="Garamond"/>
          <w:b/>
          <w:bCs/>
        </w:rPr>
      </w:pPr>
    </w:p>
    <w:p w:rsidR="006F22DB" w:rsidRDefault="006F22DB" w:rsidP="00D9104A">
      <w:pPr>
        <w:jc w:val="center"/>
        <w:rPr>
          <w:rFonts w:ascii="Garamond" w:hAnsi="Garamond"/>
          <w:b/>
          <w:bCs/>
        </w:rPr>
      </w:pPr>
    </w:p>
    <w:p w:rsidR="006F22DB" w:rsidRDefault="006F22DB" w:rsidP="00D9104A">
      <w:pPr>
        <w:jc w:val="center"/>
        <w:rPr>
          <w:rFonts w:ascii="Garamond" w:hAnsi="Garamond"/>
          <w:b/>
          <w:bCs/>
        </w:rPr>
      </w:pPr>
    </w:p>
    <w:p w:rsidR="00D9104A" w:rsidRPr="00DF4067" w:rsidRDefault="00DF4067" w:rsidP="00D9104A">
      <w:pPr>
        <w:jc w:val="center"/>
        <w:rPr>
          <w:rFonts w:ascii="Garamond" w:hAnsi="Garamond"/>
          <w:b/>
          <w:bCs/>
        </w:rPr>
      </w:pPr>
      <w:hyperlink r:id="rId7" w:history="1">
        <w:r w:rsidR="00D9104A" w:rsidRPr="00DF4067">
          <w:rPr>
            <w:rStyle w:val="Collegamentoipertestuale"/>
            <w:rFonts w:ascii="Garamond" w:hAnsi="Garamond"/>
            <w:b/>
            <w:bCs/>
          </w:rPr>
          <w:t>A.S. 615</w:t>
        </w:r>
      </w:hyperlink>
    </w:p>
    <w:p w:rsidR="00DF4067" w:rsidRDefault="00DF4067" w:rsidP="00DF4067">
      <w:pPr>
        <w:autoSpaceDE w:val="0"/>
        <w:autoSpaceDN w:val="0"/>
        <w:adjustRightInd w:val="0"/>
        <w:jc w:val="center"/>
        <w:rPr>
          <w:rFonts w:ascii="Garamond" w:hAnsi="Garamond" w:cs="AppleSystemUIFont"/>
          <w:b/>
          <w:bCs/>
          <w:kern w:val="0"/>
        </w:rPr>
      </w:pPr>
      <w:r w:rsidRPr="00DF4067">
        <w:rPr>
          <w:rFonts w:ascii="Garamond" w:hAnsi="Garamond" w:cs="AppleSystemUIFont"/>
          <w:b/>
          <w:bCs/>
          <w:kern w:val="0"/>
        </w:rPr>
        <w:t>“Disposizioni per l</w:t>
      </w:r>
      <w:r>
        <w:rPr>
          <w:rFonts w:ascii="Garamond" w:hAnsi="Garamond" w:cs="AppleSystemUIFont"/>
          <w:b/>
          <w:bCs/>
          <w:kern w:val="0"/>
        </w:rPr>
        <w:t>’</w:t>
      </w:r>
      <w:r w:rsidRPr="00DF4067">
        <w:rPr>
          <w:rFonts w:ascii="Garamond" w:hAnsi="Garamond" w:cs="AppleSystemUIFont"/>
          <w:b/>
          <w:bCs/>
          <w:kern w:val="0"/>
        </w:rPr>
        <w:t xml:space="preserve">attuazione dell'autonomia differenziata delle Regioni a statuto ordinario </w:t>
      </w:r>
    </w:p>
    <w:p w:rsidR="00DF4067" w:rsidRPr="00DF4067" w:rsidRDefault="00DF4067" w:rsidP="00DF4067">
      <w:pPr>
        <w:autoSpaceDE w:val="0"/>
        <w:autoSpaceDN w:val="0"/>
        <w:adjustRightInd w:val="0"/>
        <w:jc w:val="center"/>
        <w:rPr>
          <w:rFonts w:ascii="Garamond" w:hAnsi="Garamond" w:cs="AppleSystemUIFont"/>
          <w:kern w:val="0"/>
        </w:rPr>
      </w:pPr>
      <w:r w:rsidRPr="00DF4067">
        <w:rPr>
          <w:rFonts w:ascii="Garamond" w:hAnsi="Garamond" w:cs="AppleSystemUIFont"/>
          <w:b/>
          <w:bCs/>
          <w:kern w:val="0"/>
        </w:rPr>
        <w:t>ai sensi dell</w:t>
      </w:r>
      <w:r>
        <w:rPr>
          <w:rFonts w:ascii="Garamond" w:hAnsi="Garamond" w:cs="AppleSystemUIFont"/>
          <w:b/>
          <w:bCs/>
          <w:kern w:val="0"/>
        </w:rPr>
        <w:t>’</w:t>
      </w:r>
      <w:r w:rsidRPr="00DF4067">
        <w:rPr>
          <w:rFonts w:ascii="Garamond" w:hAnsi="Garamond" w:cs="AppleSystemUIFont"/>
          <w:b/>
          <w:bCs/>
          <w:kern w:val="0"/>
        </w:rPr>
        <w:t>articolo 116, terzo comma, della Costituzione”</w:t>
      </w:r>
    </w:p>
    <w:p w:rsidR="00DF4067" w:rsidRPr="00D9104A" w:rsidRDefault="00DF4067" w:rsidP="00D9104A">
      <w:pPr>
        <w:jc w:val="center"/>
        <w:rPr>
          <w:rFonts w:ascii="Garamond" w:hAnsi="Garamond"/>
          <w:b/>
          <w:bCs/>
        </w:rPr>
      </w:pPr>
    </w:p>
    <w:p w:rsidR="00DF4067" w:rsidRPr="00D9104A" w:rsidRDefault="00DF4067" w:rsidP="00DF4067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Senato – </w:t>
      </w:r>
      <w:r w:rsidR="00D9104A" w:rsidRPr="00D9104A">
        <w:rPr>
          <w:rFonts w:ascii="Garamond" w:hAnsi="Garamond"/>
          <w:b/>
          <w:bCs/>
        </w:rPr>
        <w:t>1° Commissione Affari costituzionali</w:t>
      </w:r>
      <w:r w:rsidR="00D9104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–</w:t>
      </w:r>
      <w:r w:rsidR="00D9104A">
        <w:rPr>
          <w:rFonts w:ascii="Garamond" w:hAnsi="Garamond"/>
          <w:b/>
          <w:bCs/>
        </w:rPr>
        <w:t xml:space="preserve"> Seduta del </w:t>
      </w:r>
      <w:r>
        <w:rPr>
          <w:rFonts w:ascii="Garamond" w:hAnsi="Garamond"/>
          <w:b/>
          <w:bCs/>
        </w:rPr>
        <w:t>27 settembre 2023</w:t>
      </w:r>
    </w:p>
    <w:p w:rsidR="00D9104A" w:rsidRPr="00D9104A" w:rsidRDefault="00D9104A" w:rsidP="00D9104A">
      <w:pPr>
        <w:jc w:val="center"/>
        <w:rPr>
          <w:rFonts w:ascii="Garamond" w:hAnsi="Garamond"/>
          <w:b/>
          <w:bCs/>
        </w:rPr>
      </w:pPr>
    </w:p>
    <w:p w:rsidR="00D9104A" w:rsidRPr="00D9104A" w:rsidRDefault="00D9104A" w:rsidP="00D9104A">
      <w:pPr>
        <w:jc w:val="center"/>
        <w:rPr>
          <w:rFonts w:ascii="Garamond" w:hAnsi="Garamond"/>
          <w:b/>
          <w:bCs/>
          <w:color w:val="000000"/>
          <w:shd w:val="clear" w:color="auto" w:fill="FFFFFF"/>
        </w:rPr>
      </w:pPr>
      <w:r w:rsidRPr="00D9104A">
        <w:rPr>
          <w:rFonts w:ascii="Garamond" w:hAnsi="Garamond"/>
          <w:b/>
          <w:bCs/>
        </w:rPr>
        <w:t xml:space="preserve">Audizione prof. Sabino </w:t>
      </w:r>
      <w:proofErr w:type="spellStart"/>
      <w:r w:rsidRPr="00D9104A">
        <w:rPr>
          <w:rFonts w:ascii="Garamond" w:hAnsi="Garamond"/>
          <w:b/>
          <w:bCs/>
        </w:rPr>
        <w:t>Cassese</w:t>
      </w:r>
      <w:proofErr w:type="spellEnd"/>
    </w:p>
    <w:p w:rsidR="00D9104A" w:rsidRPr="00D9104A" w:rsidRDefault="00D9104A" w:rsidP="00D9104A">
      <w:pPr>
        <w:jc w:val="center"/>
        <w:rPr>
          <w:rFonts w:ascii="Garamond" w:hAnsi="Garamond"/>
          <w:b/>
          <w:bCs/>
        </w:rPr>
      </w:pPr>
      <w:r w:rsidRPr="00D9104A">
        <w:rPr>
          <w:rFonts w:ascii="Garamond" w:hAnsi="Garamond"/>
          <w:b/>
          <w:bCs/>
          <w:color w:val="000000"/>
          <w:shd w:val="clear" w:color="auto" w:fill="FFFFFF"/>
        </w:rPr>
        <w:t>Presidente del Comitato per la determinazione dei livelli essenziali delle prestazioni (CLEP)</w:t>
      </w:r>
    </w:p>
    <w:p w:rsidR="00D9104A" w:rsidRDefault="00DF4067" w:rsidP="00D9104A">
      <w:pPr>
        <w:jc w:val="center"/>
        <w:rPr>
          <w:rFonts w:ascii="Garamond" w:hAnsi="Garamond"/>
          <w:b/>
          <w:bCs/>
          <w:lang w:val="en-US"/>
        </w:rPr>
      </w:pPr>
      <w:r w:rsidRPr="00DF4067">
        <w:rPr>
          <w:rFonts w:ascii="Garamond" w:hAnsi="Garamond"/>
          <w:b/>
          <w:bCs/>
          <w:lang w:val="en-US"/>
        </w:rPr>
        <w:t xml:space="preserve">Link: </w:t>
      </w:r>
      <w:hyperlink r:id="rId8" w:history="1">
        <w:r w:rsidRPr="006910C6">
          <w:rPr>
            <w:rStyle w:val="Collegamentoipertestuale"/>
            <w:rFonts w:ascii="Garamond" w:hAnsi="Garamond"/>
            <w:b/>
            <w:bCs/>
            <w:lang w:val="en-US"/>
          </w:rPr>
          <w:t>https://webtv.senato.it/4621?video_evento=243505</w:t>
        </w:r>
      </w:hyperlink>
    </w:p>
    <w:p w:rsidR="00DF4067" w:rsidRPr="00DF4067" w:rsidRDefault="00DF4067" w:rsidP="00DF4067">
      <w:pPr>
        <w:rPr>
          <w:rFonts w:ascii="Garamond" w:hAnsi="Garamond"/>
          <w:b/>
          <w:bCs/>
          <w:lang w:val="en-US"/>
        </w:rPr>
      </w:pPr>
    </w:p>
    <w:p w:rsidR="00D9104A" w:rsidRPr="00D9104A" w:rsidRDefault="00D9104A" w:rsidP="00D9104A">
      <w:pPr>
        <w:jc w:val="center"/>
        <w:rPr>
          <w:rFonts w:ascii="Garamond" w:hAnsi="Garamond"/>
          <w:b/>
          <w:bCs/>
          <w:i/>
          <w:iCs/>
        </w:rPr>
      </w:pPr>
      <w:r w:rsidRPr="00D9104A">
        <w:rPr>
          <w:rFonts w:ascii="Garamond" w:hAnsi="Garamond"/>
          <w:b/>
          <w:bCs/>
          <w:i/>
          <w:iCs/>
        </w:rPr>
        <w:t>Breve resoconto</w:t>
      </w:r>
    </w:p>
    <w:p w:rsidR="00D9104A" w:rsidRDefault="00D9104A" w:rsidP="00D9104A">
      <w:pPr>
        <w:rPr>
          <w:rFonts w:ascii="Garamond" w:hAnsi="Garamond"/>
        </w:rPr>
      </w:pPr>
    </w:p>
    <w:p w:rsidR="00D9104A" w:rsidRPr="00D9104A" w:rsidRDefault="00D9104A" w:rsidP="00D9104A">
      <w:pPr>
        <w:rPr>
          <w:rFonts w:ascii="Garamond" w:hAnsi="Garamond"/>
        </w:rPr>
      </w:pPr>
    </w:p>
    <w:p w:rsidR="00D9104A" w:rsidRPr="00D9104A" w:rsidRDefault="00D9104A" w:rsidP="00D9104A">
      <w:pPr>
        <w:jc w:val="both"/>
        <w:rPr>
          <w:rFonts w:ascii="Garamond" w:hAnsi="Garamond"/>
        </w:rPr>
      </w:pPr>
      <w:r w:rsidRPr="00D9104A">
        <w:rPr>
          <w:rFonts w:ascii="Garamond" w:hAnsi="Garamond"/>
        </w:rPr>
        <w:t>La seduta è dura</w:t>
      </w:r>
      <w:r>
        <w:rPr>
          <w:rFonts w:ascii="Garamond" w:hAnsi="Garamond"/>
        </w:rPr>
        <w:t>ta</w:t>
      </w:r>
      <w:r w:rsidRPr="00D9104A">
        <w:rPr>
          <w:rFonts w:ascii="Garamond" w:hAnsi="Garamond"/>
        </w:rPr>
        <w:t xml:space="preserve"> circa due ore.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Il prof</w:t>
      </w:r>
      <w:r w:rsidRPr="00D9104A">
        <w:rPr>
          <w:rFonts w:ascii="Garamond" w:hAnsi="Garamond"/>
        </w:rPr>
        <w:t xml:space="preserve">. </w:t>
      </w:r>
      <w:proofErr w:type="spellStart"/>
      <w:r w:rsidRPr="00D9104A">
        <w:rPr>
          <w:rFonts w:ascii="Garamond" w:hAnsi="Garamond"/>
        </w:rPr>
        <w:t>Cassese</w:t>
      </w:r>
      <w:proofErr w:type="spellEnd"/>
      <w:r>
        <w:rPr>
          <w:rFonts w:ascii="Garamond" w:hAnsi="Garamond"/>
        </w:rPr>
        <w:t xml:space="preserve"> </w:t>
      </w:r>
      <w:r w:rsidRPr="00DF4067">
        <w:rPr>
          <w:rFonts w:ascii="Garamond" w:hAnsi="Garamond"/>
          <w:color w:val="000000" w:themeColor="text1"/>
        </w:rPr>
        <w:t xml:space="preserve">ha inizialmente svolto una relazione introduttiva; sono </w:t>
      </w:r>
      <w:r w:rsidR="00DF4067">
        <w:rPr>
          <w:rFonts w:ascii="Garamond" w:hAnsi="Garamond"/>
          <w:color w:val="000000" w:themeColor="text1"/>
        </w:rPr>
        <w:t xml:space="preserve">poi </w:t>
      </w:r>
      <w:r w:rsidRPr="00DF4067">
        <w:rPr>
          <w:rFonts w:ascii="Garamond" w:hAnsi="Garamond"/>
          <w:color w:val="000000" w:themeColor="text1"/>
        </w:rPr>
        <w:t xml:space="preserve">intervenuti esponenti della maggioranza e dell’opposizione; il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 ha quindi svolto una replica.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Il Ministro sen. Calderoli ha chiuso i lavori della Commissione con un breve intervento finale.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Il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 ha articolato la sua esposizione in quattro punti.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</w:p>
    <w:p w:rsidR="00D9104A" w:rsidRPr="00DF4067" w:rsidRDefault="00D9104A" w:rsidP="00D9104A">
      <w:pPr>
        <w:jc w:val="both"/>
        <w:rPr>
          <w:rFonts w:ascii="Garamond" w:hAnsi="Garamond"/>
          <w:i/>
          <w:iCs/>
          <w:color w:val="000000" w:themeColor="text1"/>
        </w:rPr>
      </w:pPr>
      <w:r w:rsidRPr="00DF4067">
        <w:rPr>
          <w:rFonts w:ascii="Garamond" w:hAnsi="Garamond"/>
          <w:i/>
          <w:iCs/>
          <w:color w:val="000000" w:themeColor="text1"/>
        </w:rPr>
        <w:t>Notazioni preliminari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Ha preliminarmente illustrato la collocazione costituzionale dei lavori del Comitato, riferendosi agli artt. 117 e 120 Cost. quali norme che hanno consacrato il concetto di “livello essenziale di prestazione” (LEP) in Costituzione.</w:t>
      </w:r>
    </w:p>
    <w:p w:rsidR="00D9104A" w:rsidRPr="00DF4067" w:rsidRDefault="00D9104A" w:rsidP="00D9104A">
      <w:pPr>
        <w:pStyle w:val="PreformattatoHTML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F4067">
        <w:rPr>
          <w:rFonts w:ascii="Garamond" w:hAnsi="Garamond"/>
          <w:color w:val="000000" w:themeColor="text1"/>
          <w:sz w:val="24"/>
          <w:szCs w:val="24"/>
        </w:rPr>
        <w:t>Ha quindi fatto riferimento alla l. n. 197/2022 (legge di bilancio 2023) e, in particolare, all’art. 1, comma 791 che sancisce il collegamento tra prescrizione costituzionale e definizione dei LEP “</w:t>
      </w:r>
      <w:r w:rsidRPr="00DF406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quale soglia di spesa costituzionalmente necessaria che </w:t>
      </w:r>
      <w:r w:rsidRPr="00D9104A">
        <w:rPr>
          <w:rFonts w:ascii="Garamond" w:hAnsi="Garamond"/>
          <w:i/>
          <w:iCs/>
          <w:color w:val="000000" w:themeColor="text1"/>
          <w:sz w:val="24"/>
          <w:szCs w:val="24"/>
        </w:rPr>
        <w:t>costituisce nucleo invalicabile per erogare le prestazioni sociali di</w:t>
      </w:r>
      <w:r w:rsidRPr="00DF4067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D9104A">
        <w:rPr>
          <w:rFonts w:ascii="Garamond" w:hAnsi="Garamond"/>
          <w:i/>
          <w:iCs/>
          <w:color w:val="000000" w:themeColor="text1"/>
          <w:sz w:val="24"/>
          <w:szCs w:val="24"/>
        </w:rPr>
        <w:t>natura fondamental</w:t>
      </w:r>
      <w:r w:rsidRPr="00DF4067">
        <w:rPr>
          <w:rFonts w:ascii="Garamond" w:hAnsi="Garamond"/>
          <w:i/>
          <w:iCs/>
          <w:color w:val="000000" w:themeColor="text1"/>
          <w:sz w:val="24"/>
          <w:szCs w:val="24"/>
        </w:rPr>
        <w:t>e</w:t>
      </w:r>
      <w:r w:rsidRPr="00DF4067">
        <w:rPr>
          <w:rFonts w:ascii="Garamond" w:hAnsi="Garamond"/>
          <w:color w:val="000000" w:themeColor="text1"/>
          <w:sz w:val="24"/>
          <w:szCs w:val="24"/>
        </w:rPr>
        <w:t>”, oltre che tra conferimento di maggiore autonomia regionale e definizione degli stessi livelli.</w:t>
      </w:r>
    </w:p>
    <w:p w:rsidR="00D9104A" w:rsidRPr="00DF4067" w:rsidRDefault="00D9104A" w:rsidP="00D9104A">
      <w:pPr>
        <w:pStyle w:val="PreformattatoHTML"/>
        <w:jc w:val="both"/>
        <w:rPr>
          <w:rFonts w:ascii="Garamond" w:hAnsi="Garamond"/>
          <w:i/>
          <w:iCs/>
          <w:color w:val="000000" w:themeColor="text1"/>
          <w:sz w:val="24"/>
          <w:szCs w:val="24"/>
        </w:rPr>
      </w:pPr>
    </w:p>
    <w:p w:rsidR="00D9104A" w:rsidRPr="00DF4067" w:rsidRDefault="00D9104A" w:rsidP="00D9104A">
      <w:pPr>
        <w:jc w:val="both"/>
        <w:rPr>
          <w:rFonts w:ascii="Garamond" w:hAnsi="Garamond"/>
          <w:i/>
          <w:iCs/>
          <w:color w:val="000000" w:themeColor="text1"/>
        </w:rPr>
      </w:pPr>
      <w:r w:rsidRPr="00DF4067">
        <w:rPr>
          <w:rFonts w:ascii="Garamond" w:hAnsi="Garamond"/>
          <w:i/>
          <w:iCs/>
          <w:color w:val="000000" w:themeColor="text1"/>
        </w:rPr>
        <w:t>Lavori del Comitato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Il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 ha quindi dato conto dei lavori del Comitato, insediatosi il 9 maggio 2023 in forza del </w:t>
      </w:r>
      <w:proofErr w:type="spellStart"/>
      <w:r w:rsidRPr="00DF4067">
        <w:rPr>
          <w:rFonts w:ascii="Garamond" w:hAnsi="Garamond"/>
          <w:color w:val="000000" w:themeColor="text1"/>
        </w:rPr>
        <w:t>d.p.c.m</w:t>
      </w:r>
      <w:proofErr w:type="spellEnd"/>
      <w:r w:rsidRPr="00DF4067">
        <w:rPr>
          <w:rFonts w:ascii="Garamond" w:hAnsi="Garamond"/>
          <w:color w:val="000000" w:themeColor="text1"/>
        </w:rPr>
        <w:t>. 23 marzo 2023 (</w:t>
      </w:r>
      <w:r w:rsidRPr="00DF4067">
        <w:rPr>
          <w:rFonts w:ascii="Garamond" w:hAnsi="Garamond"/>
          <w:i/>
          <w:iCs/>
          <w:color w:val="000000" w:themeColor="text1"/>
        </w:rPr>
        <w:t>ex</w:t>
      </w:r>
      <w:r w:rsidRPr="00DF4067">
        <w:rPr>
          <w:rFonts w:ascii="Garamond" w:hAnsi="Garamond"/>
          <w:color w:val="000000" w:themeColor="text1"/>
        </w:rPr>
        <w:t xml:space="preserve"> art. 1, comma 793 l. n. 197/2022) con il compito di provvedere a ogni contributo istruttorio in funzione della Cabina di regia istituita dal citato comma 793.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I lavori del Comitato hanno dunque natura eminentemente funzionale e si sostanziano nella:</w:t>
      </w:r>
    </w:p>
    <w:p w:rsidR="00D9104A" w:rsidRPr="00DF4067" w:rsidRDefault="00D9104A" w:rsidP="00D9104A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raccolta di dati normativi;</w:t>
      </w:r>
    </w:p>
    <w:p w:rsidR="00D9104A" w:rsidRPr="00DF4067" w:rsidRDefault="00D9104A" w:rsidP="00D9104A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individuazione dell’articolazione delle materie di interesse</w:t>
      </w:r>
      <w:r w:rsidR="00454612">
        <w:rPr>
          <w:rFonts w:ascii="Garamond" w:hAnsi="Garamond"/>
          <w:color w:val="000000" w:themeColor="text1"/>
        </w:rPr>
        <w:t xml:space="preserve"> (</w:t>
      </w:r>
      <w:r w:rsidR="00454612" w:rsidRPr="00454612">
        <w:rPr>
          <w:rFonts w:ascii="Garamond" w:hAnsi="Garamond"/>
          <w:color w:val="000000" w:themeColor="text1"/>
          <w:u w:val="single"/>
        </w:rPr>
        <w:t xml:space="preserve">limitatamente a quelle riconducibili alla autonomia ex art 116 </w:t>
      </w:r>
      <w:proofErr w:type="spellStart"/>
      <w:r w:rsidR="00454612" w:rsidRPr="00454612">
        <w:rPr>
          <w:rFonts w:ascii="Garamond" w:hAnsi="Garamond"/>
          <w:color w:val="000000" w:themeColor="text1"/>
          <w:u w:val="single"/>
        </w:rPr>
        <w:t>Cost</w:t>
      </w:r>
      <w:proofErr w:type="spellEnd"/>
      <w:r w:rsidR="00454612">
        <w:rPr>
          <w:rFonts w:ascii="Garamond" w:hAnsi="Garamond"/>
          <w:color w:val="000000" w:themeColor="text1"/>
        </w:rPr>
        <w:t>)</w:t>
      </w:r>
      <w:r w:rsidRPr="00DF4067">
        <w:rPr>
          <w:rFonts w:ascii="Garamond" w:hAnsi="Garamond"/>
          <w:color w:val="000000" w:themeColor="text1"/>
        </w:rPr>
        <w:t>;</w:t>
      </w:r>
    </w:p>
    <w:p w:rsidR="00D9104A" w:rsidRPr="00DF4067" w:rsidRDefault="00D9104A" w:rsidP="00D9104A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fissazione dei LEP;</w:t>
      </w:r>
    </w:p>
    <w:p w:rsidR="00D9104A" w:rsidRPr="00DF4067" w:rsidRDefault="00D9104A" w:rsidP="00D9104A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individuazione costi e fabbisogni standard relativi ai LEP.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</w:p>
    <w:p w:rsidR="00D9104A" w:rsidRPr="00DF4067" w:rsidRDefault="00D9104A" w:rsidP="00D9104A">
      <w:pPr>
        <w:jc w:val="both"/>
        <w:rPr>
          <w:rFonts w:ascii="Garamond" w:hAnsi="Garamond"/>
          <w:i/>
          <w:iCs/>
          <w:color w:val="000000" w:themeColor="text1"/>
        </w:rPr>
      </w:pPr>
      <w:r w:rsidRPr="00DF4067">
        <w:rPr>
          <w:rFonts w:ascii="Garamond" w:hAnsi="Garamond"/>
          <w:i/>
          <w:iCs/>
          <w:color w:val="000000" w:themeColor="text1"/>
        </w:rPr>
        <w:t>Problematiche affrontate dal Comitato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lastRenderedPageBreak/>
        <w:t xml:space="preserve">Come riferito dal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, in una prima fase il Comitato (organizzato in dieci sottogruppi) ha provveduto alla ricognizione della normativa vigente e delle esperienze precedenti in ordine alle materie e agli ambiti di materie correlati a funzioni riferibili ai LEP. 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In particolare, il Comitato ha concluso a fine luglio scorso la perimetrazione delle funzioni riferibili ai LEP (ossia </w:t>
      </w:r>
      <w:r w:rsidR="00DF4067">
        <w:rPr>
          <w:rFonts w:ascii="Garamond" w:hAnsi="Garamond"/>
          <w:color w:val="000000" w:themeColor="text1"/>
        </w:rPr>
        <w:t>l’individuazione del</w:t>
      </w:r>
      <w:r w:rsidRPr="00DF4067">
        <w:rPr>
          <w:rFonts w:ascii="Garamond" w:hAnsi="Garamond"/>
          <w:color w:val="000000" w:themeColor="text1"/>
        </w:rPr>
        <w:t>le materie o funzioni attinenti a materie sulle quali lo Stato entra in contatto con il cittadino offrendo una prestazione uniforme in riferimento ai diritti vivili e sociali invocati)</w:t>
      </w:r>
    </w:p>
    <w:p w:rsidR="00D9104A" w:rsidRPr="00DF4067" w:rsidRDefault="00D9104A" w:rsidP="00D9104A">
      <w:pPr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In relazione a tali funzioni la fissazione dei LEP è tuttora in corso e risulta ricca di problematiche.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Tra quelle citate dal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, vi è il </w:t>
      </w:r>
      <w:r w:rsidR="00DF4067">
        <w:rPr>
          <w:rFonts w:ascii="Garamond" w:hAnsi="Garamond"/>
          <w:color w:val="000000" w:themeColor="text1"/>
        </w:rPr>
        <w:t>necessario e difficile</w:t>
      </w:r>
      <w:r w:rsidRPr="00DF4067">
        <w:rPr>
          <w:rFonts w:ascii="Garamond" w:hAnsi="Garamond"/>
          <w:color w:val="000000" w:themeColor="text1"/>
        </w:rPr>
        <w:t xml:space="preserve"> riferimento sia alla determinazione qualitativa che a quella quantitativa dei LEP, quale soglia di spesa costituzionalmente necessaria (coerentemente con quanto già sancito dalla Corte costituzionale, es. </w:t>
      </w:r>
      <w:proofErr w:type="spellStart"/>
      <w:r w:rsidRPr="00DF4067">
        <w:rPr>
          <w:rFonts w:ascii="Garamond" w:hAnsi="Garamond"/>
          <w:color w:val="000000" w:themeColor="text1"/>
        </w:rPr>
        <w:t>sent</w:t>
      </w:r>
      <w:proofErr w:type="spellEnd"/>
      <w:r w:rsidRPr="00DF4067">
        <w:rPr>
          <w:rFonts w:ascii="Garamond" w:hAnsi="Garamond"/>
          <w:color w:val="000000" w:themeColor="text1"/>
        </w:rPr>
        <w:t xml:space="preserve">. n. 72/2020) ed eguale su tutto il territorio nazionale per rispondere ai fabbisogni dei cittadini. 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In questo – ha sottolineato il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 – il Comitato si è sempre preoccupato che non fossero ignorati diritti, ma che lo spettro di studio e analisi nella perimetrazione dei LEP fosse ad ampio raggio e tenesse conto della necessità di quantificare</w:t>
      </w:r>
      <w:r w:rsidR="00DF4067">
        <w:rPr>
          <w:rFonts w:ascii="Garamond" w:hAnsi="Garamond"/>
          <w:color w:val="000000" w:themeColor="text1"/>
        </w:rPr>
        <w:t xml:space="preserve"> sempre</w:t>
      </w:r>
      <w:r w:rsidRPr="00DF4067">
        <w:rPr>
          <w:rFonts w:ascii="Garamond" w:hAnsi="Garamond"/>
          <w:color w:val="000000" w:themeColor="text1"/>
        </w:rPr>
        <w:t xml:space="preserve"> le risorse necessarie.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Nel dirlo il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 ha sottolineato l’importanza della definizione dei LEP quale “arma” del cittadino nei confronti dell’amministrazione pubblica e strumento “centralistico” volto a introdurre uniformità nel difficile bilanciamento delle esigenze in gioco. 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Nell’ambito dei 223 LEP individuati dal Comitato sono peraltro compresi anche livelli non quantificabili, strumentali (non finali), primari, non autosufficienti e indiretti. Da qui l’intenzione del Comitato di strutturare la fissazione dei LEP come una costruzione “a imbuto”, nella quale i 223 livelli già identificati costituiscono la parte più ampia da cui scendere per assicurare </w:t>
      </w:r>
      <w:r w:rsidR="00DF4067">
        <w:rPr>
          <w:rFonts w:ascii="Garamond" w:hAnsi="Garamond"/>
          <w:color w:val="000000" w:themeColor="text1"/>
        </w:rPr>
        <w:t>la determinazione esatta e puntuale</w:t>
      </w:r>
      <w:r w:rsidRPr="00DF4067">
        <w:rPr>
          <w:rFonts w:ascii="Garamond" w:hAnsi="Garamond"/>
          <w:color w:val="000000" w:themeColor="text1"/>
        </w:rPr>
        <w:t xml:space="preserve"> di un LEP qualitativo e quantitativo.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</w:p>
    <w:p w:rsidR="00D9104A" w:rsidRPr="00DF4067" w:rsidRDefault="00D9104A" w:rsidP="00D9104A">
      <w:pPr>
        <w:jc w:val="both"/>
        <w:rPr>
          <w:rFonts w:ascii="Garamond" w:hAnsi="Garamond"/>
          <w:i/>
          <w:iCs/>
          <w:color w:val="000000" w:themeColor="text1"/>
        </w:rPr>
      </w:pPr>
      <w:r w:rsidRPr="00DF4067">
        <w:rPr>
          <w:rFonts w:ascii="Garamond" w:hAnsi="Garamond"/>
          <w:i/>
          <w:iCs/>
          <w:color w:val="000000" w:themeColor="text1"/>
        </w:rPr>
        <w:t>Tempistica dei lavori</w:t>
      </w:r>
    </w:p>
    <w:p w:rsidR="00D9104A" w:rsidRPr="00DF4067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 xml:space="preserve">Il prof. </w:t>
      </w:r>
      <w:proofErr w:type="spellStart"/>
      <w:r w:rsidRPr="00DF4067">
        <w:rPr>
          <w:rFonts w:ascii="Garamond" w:hAnsi="Garamond"/>
          <w:color w:val="000000" w:themeColor="text1"/>
        </w:rPr>
        <w:t>Cassese</w:t>
      </w:r>
      <w:proofErr w:type="spellEnd"/>
      <w:r w:rsidRPr="00DF4067">
        <w:rPr>
          <w:rFonts w:ascii="Garamond" w:hAnsi="Garamond"/>
          <w:color w:val="000000" w:themeColor="text1"/>
        </w:rPr>
        <w:t xml:space="preserve"> ha informato che il Comitato procede con un’interlocuzione costante con le amministrazioni ministeriali per la verifica del lavoro svolto.</w:t>
      </w:r>
    </w:p>
    <w:p w:rsidR="00D9104A" w:rsidRDefault="00D9104A" w:rsidP="00D9104A">
      <w:pPr>
        <w:jc w:val="both"/>
        <w:rPr>
          <w:rFonts w:ascii="Garamond" w:hAnsi="Garamond"/>
          <w:color w:val="000000" w:themeColor="text1"/>
        </w:rPr>
      </w:pPr>
      <w:r w:rsidRPr="00DF4067">
        <w:rPr>
          <w:rFonts w:ascii="Garamond" w:hAnsi="Garamond"/>
          <w:color w:val="000000" w:themeColor="text1"/>
        </w:rPr>
        <w:t>Al termine dei lavori, a fine ottobre, il Comitato prenderà contatto anche con la Commissione tecnica per i fabbisogni standard per le istruttorie di competenza.</w:t>
      </w:r>
    </w:p>
    <w:p w:rsidR="00454612" w:rsidRDefault="00454612" w:rsidP="00D9104A">
      <w:pPr>
        <w:jc w:val="both"/>
        <w:rPr>
          <w:rFonts w:ascii="Garamond" w:hAnsi="Garamond"/>
          <w:color w:val="000000" w:themeColor="text1"/>
        </w:rPr>
      </w:pPr>
    </w:p>
    <w:p w:rsidR="00DB611C" w:rsidRDefault="00DB611C" w:rsidP="00D9104A">
      <w:pPr>
        <w:jc w:val="both"/>
        <w:rPr>
          <w:rFonts w:ascii="Garamond" w:hAnsi="Garamond"/>
          <w:color w:val="000000" w:themeColor="text1"/>
        </w:rPr>
      </w:pPr>
    </w:p>
    <w:p w:rsidR="006F22DB" w:rsidRDefault="00454612" w:rsidP="00D9104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Sono poi seguiti interventi di </w:t>
      </w:r>
      <w:r w:rsidR="00B668C2">
        <w:rPr>
          <w:rFonts w:ascii="Garamond" w:hAnsi="Garamond"/>
          <w:color w:val="000000" w:themeColor="text1"/>
        </w:rPr>
        <w:t xml:space="preserve">diversi </w:t>
      </w:r>
      <w:r>
        <w:rPr>
          <w:rFonts w:ascii="Garamond" w:hAnsi="Garamond"/>
          <w:color w:val="000000" w:themeColor="text1"/>
        </w:rPr>
        <w:t xml:space="preserve">Senatori </w:t>
      </w:r>
      <w:r w:rsidR="00B668C2">
        <w:rPr>
          <w:rFonts w:ascii="Garamond" w:hAnsi="Garamond"/>
          <w:color w:val="000000" w:themeColor="text1"/>
        </w:rPr>
        <w:t xml:space="preserve">facenti parte delle diverse forze politiche. </w:t>
      </w:r>
    </w:p>
    <w:p w:rsidR="00454612" w:rsidRPr="00DF4067" w:rsidRDefault="00B668C2" w:rsidP="00D9104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Di particolare interesse l’intervento del Senatore Giorgis</w:t>
      </w:r>
      <w:r w:rsidR="006F22DB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</w:t>
      </w:r>
      <w:r w:rsidR="00DB611C">
        <w:rPr>
          <w:rFonts w:ascii="Garamond" w:hAnsi="Garamond"/>
          <w:color w:val="000000" w:themeColor="text1"/>
        </w:rPr>
        <w:t>che ha sottolineato la notevole problematicità di un percorso limitato alla i</w:t>
      </w:r>
      <w:r w:rsidR="006F22DB">
        <w:rPr>
          <w:rFonts w:ascii="Garamond" w:hAnsi="Garamond"/>
          <w:color w:val="000000" w:themeColor="text1"/>
        </w:rPr>
        <w:t>ndividuazione dei LEP sol</w:t>
      </w:r>
      <w:r w:rsidR="00DB611C">
        <w:rPr>
          <w:rFonts w:ascii="Garamond" w:hAnsi="Garamond"/>
          <w:color w:val="000000" w:themeColor="text1"/>
        </w:rPr>
        <w:t xml:space="preserve">o nelle materie di possibile oggetto di autonomia, trascurando tutte le altre. </w:t>
      </w:r>
    </w:p>
    <w:p w:rsidR="00D9104A" w:rsidRPr="00DF4067" w:rsidRDefault="00D9104A" w:rsidP="00D9104A">
      <w:pPr>
        <w:rPr>
          <w:rFonts w:ascii="Garamond" w:hAnsi="Garamond"/>
          <w:color w:val="000000" w:themeColor="text1"/>
        </w:rPr>
      </w:pPr>
      <w:bookmarkStart w:id="0" w:name="_GoBack"/>
      <w:bookmarkEnd w:id="0"/>
    </w:p>
    <w:sectPr w:rsidR="00D9104A" w:rsidRPr="00DF406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59" w:rsidRDefault="00720A59" w:rsidP="00DF4067">
      <w:r>
        <w:separator/>
      </w:r>
    </w:p>
  </w:endnote>
  <w:endnote w:type="continuationSeparator" w:id="0">
    <w:p w:rsidR="00720A59" w:rsidRDefault="00720A59" w:rsidP="00DF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67" w:rsidRDefault="00DF4067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B3DAF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DF4067" w:rsidRDefault="00DF4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59" w:rsidRDefault="00720A59" w:rsidP="00DF4067">
      <w:r>
        <w:separator/>
      </w:r>
    </w:p>
  </w:footnote>
  <w:footnote w:type="continuationSeparator" w:id="0">
    <w:p w:rsidR="00720A59" w:rsidRDefault="00720A59" w:rsidP="00DF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5D42"/>
    <w:multiLevelType w:val="hybridMultilevel"/>
    <w:tmpl w:val="6DA4B1C0"/>
    <w:lvl w:ilvl="0" w:tplc="AF2CB3F8">
      <w:start w:val="793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A"/>
    <w:rsid w:val="00454612"/>
    <w:rsid w:val="0054405D"/>
    <w:rsid w:val="006F22DB"/>
    <w:rsid w:val="00720A59"/>
    <w:rsid w:val="00B668C2"/>
    <w:rsid w:val="00D9104A"/>
    <w:rsid w:val="00DB611C"/>
    <w:rsid w:val="00DF4067"/>
    <w:rsid w:val="00F03C8C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912C"/>
  <w15:chartTrackingRefBased/>
  <w15:docId w15:val="{D5F8884E-D701-DA48-A125-22621005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04A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91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04A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DF406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40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4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67"/>
  </w:style>
  <w:style w:type="paragraph" w:styleId="Pidipagina">
    <w:name w:val="footer"/>
    <w:basedOn w:val="Normale"/>
    <w:link w:val="PidipaginaCarattere"/>
    <w:uiPriority w:val="99"/>
    <w:unhideWhenUsed/>
    <w:rsid w:val="00DF4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v.senato.it/4621?video_evento=243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nato.it/leg/19/BGT/Schede/Ddliter/568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</cp:lastModifiedBy>
  <cp:revision>4</cp:revision>
  <dcterms:created xsi:type="dcterms:W3CDTF">2023-09-29T12:17:00Z</dcterms:created>
  <dcterms:modified xsi:type="dcterms:W3CDTF">2023-09-29T12:40:00Z</dcterms:modified>
</cp:coreProperties>
</file>